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792C" w14:textId="77777777" w:rsidR="004C797F" w:rsidRDefault="009759D6" w:rsidP="004C797F">
      <w:pPr>
        <w:pBdr>
          <w:bottom w:val="single" w:sz="12" w:space="1" w:color="1F3864" w:themeColor="accent5" w:themeShade="80"/>
        </w:pBdr>
        <w:spacing w:before="120"/>
        <w:rPr>
          <w:color w:val="000000"/>
          <w:lang w:eastAsia="en-AU"/>
        </w:rPr>
      </w:pPr>
      <w:bookmarkStart w:id="0" w:name="_GoBack"/>
      <w:bookmarkEnd w:id="0"/>
      <w:r w:rsidRPr="00A72F5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F77994" wp14:editId="0BF77995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7F">
        <w:rPr>
          <w:b/>
          <w:bCs/>
          <w:i/>
          <w:iCs/>
          <w:color w:val="1F497D"/>
          <w:lang w:eastAsia="en-AU"/>
        </w:rPr>
        <w:t xml:space="preserve">        </w:t>
      </w:r>
      <w:r w:rsidR="004C797F">
        <w:rPr>
          <w:b/>
          <w:bCs/>
          <w:i/>
          <w:iCs/>
          <w:color w:val="1F497D"/>
          <w:lang w:eastAsia="en-AU"/>
        </w:rPr>
        <w:tab/>
      </w:r>
      <w:r w:rsidR="004C797F">
        <w:rPr>
          <w:b/>
          <w:bCs/>
          <w:i/>
          <w:iCs/>
          <w:color w:val="1F497D"/>
          <w:lang w:eastAsia="en-AU"/>
        </w:rPr>
        <w:tab/>
      </w:r>
      <w:r w:rsidR="004C797F">
        <w:rPr>
          <w:b/>
          <w:bCs/>
          <w:i/>
          <w:iCs/>
          <w:color w:val="1F497D"/>
          <w:lang w:eastAsia="en-AU"/>
        </w:rPr>
        <w:tab/>
      </w:r>
      <w:r w:rsidR="004C797F">
        <w:rPr>
          <w:b/>
          <w:bCs/>
          <w:i/>
          <w:iCs/>
          <w:color w:val="1F497D"/>
          <w:lang w:eastAsia="en-AU"/>
        </w:rPr>
        <w:tab/>
      </w:r>
      <w:r w:rsidR="004C797F">
        <w:rPr>
          <w:b/>
          <w:bCs/>
          <w:i/>
          <w:iCs/>
          <w:color w:val="1F497D"/>
          <w:lang w:eastAsia="en-AU"/>
        </w:rPr>
        <w:tab/>
        <w:t xml:space="preserve">            Educate. Learn. Empower. Lead       </w:t>
      </w:r>
    </w:p>
    <w:tbl>
      <w:tblPr>
        <w:tblpPr w:leftFromText="180" w:rightFromText="180" w:vertAnchor="page" w:horzAnchor="margin" w:tblpY="195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900"/>
        <w:gridCol w:w="1039"/>
      </w:tblGrid>
      <w:tr w:rsidR="004C797F" w:rsidRPr="00C643CA" w14:paraId="0BF7792E" w14:textId="77777777" w:rsidTr="007F1D7E">
        <w:trPr>
          <w:cantSplit/>
          <w:trHeight w:val="742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0BF7792D" w14:textId="77777777" w:rsidR="004C797F" w:rsidRPr="004C797F" w:rsidRDefault="004C797F" w:rsidP="004C797F">
            <w:pPr>
              <w:keepNext/>
              <w:spacing w:before="120" w:after="120"/>
              <w:jc w:val="center"/>
              <w:outlineLvl w:val="2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C797F">
              <w:rPr>
                <w:rFonts w:ascii="Calibri" w:hAnsi="Calibri" w:cs="Arial"/>
                <w:b/>
                <w:bCs/>
                <w:sz w:val="26"/>
                <w:szCs w:val="26"/>
              </w:rPr>
              <w:t>Quality Assurance Checklist</w:t>
            </w:r>
          </w:p>
        </w:tc>
      </w:tr>
      <w:tr w:rsidR="004C797F" w:rsidRPr="00C643CA" w14:paraId="0BF77932" w14:textId="77777777" w:rsidTr="007F1D7E">
        <w:trPr>
          <w:cantSplit/>
          <w:trHeight w:val="328"/>
        </w:trPr>
        <w:tc>
          <w:tcPr>
            <w:tcW w:w="9067" w:type="dxa"/>
            <w:gridSpan w:val="3"/>
          </w:tcPr>
          <w:p w14:paraId="0BF7792F" w14:textId="77777777" w:rsidR="004C797F" w:rsidRPr="00C643CA" w:rsidRDefault="004C797F" w:rsidP="004C79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F77930" w14:textId="77777777" w:rsidR="004C797F" w:rsidRPr="00C643CA" w:rsidRDefault="004C797F" w:rsidP="004C797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643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The following checklist should be applied by training and assessor staff to all course deliveries of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ICAN Learn </w:t>
            </w:r>
            <w:r w:rsidRPr="00C643CA">
              <w:rPr>
                <w:rFonts w:ascii="Calibri" w:hAnsi="Calibri" w:cs="Arial"/>
                <w:b/>
                <w:bCs/>
                <w:sz w:val="16"/>
                <w:szCs w:val="16"/>
              </w:rPr>
              <w:t>as required and especially where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updates have been e</w:t>
            </w:r>
            <w:r w:rsidRPr="00C643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ffected through the transitioning from superseded training package/accredited course qualifications and courses. Outcomes of the review should be referred to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ICAN Learn </w:t>
            </w:r>
            <w:r w:rsidRPr="00C643CA">
              <w:rPr>
                <w:rFonts w:ascii="Calibri" w:hAnsi="Calibri" w:cs="Arial"/>
                <w:b/>
                <w:bCs/>
                <w:sz w:val="16"/>
                <w:szCs w:val="16"/>
              </w:rPr>
              <w:t>management.</w:t>
            </w:r>
          </w:p>
          <w:p w14:paraId="0BF77931" w14:textId="77777777" w:rsidR="004C797F" w:rsidRPr="00C643CA" w:rsidRDefault="004C797F" w:rsidP="004C79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97F" w:rsidRPr="00C643CA" w14:paraId="0BF77936" w14:textId="77777777" w:rsidTr="007F1D7E">
        <w:trPr>
          <w:cantSplit/>
          <w:trHeight w:val="328"/>
        </w:trPr>
        <w:tc>
          <w:tcPr>
            <w:tcW w:w="9067" w:type="dxa"/>
            <w:gridSpan w:val="3"/>
          </w:tcPr>
          <w:p w14:paraId="0BF77933" w14:textId="77777777" w:rsidR="004C797F" w:rsidRDefault="004C797F" w:rsidP="004C79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F77934" w14:textId="77777777" w:rsidR="004C797F" w:rsidRDefault="004C797F" w:rsidP="004C79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Course delivery:                                                           Reviewed by:                                               Date:                                             </w:t>
            </w:r>
          </w:p>
          <w:p w14:paraId="0BF77935" w14:textId="77777777" w:rsidR="004C797F" w:rsidRPr="00C643CA" w:rsidRDefault="004C797F" w:rsidP="004C79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97F" w:rsidRPr="00C643CA" w14:paraId="0BF7793A" w14:textId="77777777" w:rsidTr="007F1D7E">
        <w:trPr>
          <w:cantSplit/>
          <w:trHeight w:val="328"/>
        </w:trPr>
        <w:tc>
          <w:tcPr>
            <w:tcW w:w="7128" w:type="dxa"/>
            <w:shd w:val="clear" w:color="auto" w:fill="F2F2F2" w:themeFill="background1" w:themeFillShade="F2"/>
          </w:tcPr>
          <w:p w14:paraId="0BF77937" w14:textId="77777777" w:rsidR="004C797F" w:rsidRPr="0075198C" w:rsidRDefault="004C797F" w:rsidP="004C797F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Pre Assessment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F77938" w14:textId="77777777" w:rsidR="004C797F" w:rsidRPr="00C643CA" w:rsidRDefault="004C797F" w:rsidP="004C797F">
            <w:pPr>
              <w:spacing w:before="120" w:after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Yes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14:paraId="0BF77939" w14:textId="77777777" w:rsidR="004C797F" w:rsidRPr="00C643CA" w:rsidRDefault="004C797F" w:rsidP="004C797F">
            <w:pPr>
              <w:spacing w:before="120" w:after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No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sym w:font="Symbol" w:char="F0D6"/>
            </w:r>
          </w:p>
        </w:tc>
      </w:tr>
      <w:tr w:rsidR="004C797F" w:rsidRPr="00C643CA" w14:paraId="0BF7793E" w14:textId="77777777" w:rsidTr="007F1D7E">
        <w:trPr>
          <w:trHeight w:val="522"/>
        </w:trPr>
        <w:tc>
          <w:tcPr>
            <w:tcW w:w="7128" w:type="dxa"/>
            <w:vAlign w:val="center"/>
          </w:tcPr>
          <w:p w14:paraId="0BF7793B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Review the available training and assessment resource requirements for the location of training delivery.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(Resource Review Checklist)</w:t>
            </w:r>
          </w:p>
        </w:tc>
        <w:tc>
          <w:tcPr>
            <w:tcW w:w="900" w:type="dxa"/>
          </w:tcPr>
          <w:p w14:paraId="0BF7793C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3D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42" w14:textId="77777777" w:rsidTr="007F1D7E">
        <w:trPr>
          <w:trHeight w:val="392"/>
        </w:trPr>
        <w:tc>
          <w:tcPr>
            <w:tcW w:w="7128" w:type="dxa"/>
            <w:vAlign w:val="center"/>
          </w:tcPr>
          <w:p w14:paraId="0BF7793F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Review current unit mapping to competency standards to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align with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current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RTO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 lesson plan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the planned amount of training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0BF77940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41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46" w14:textId="77777777" w:rsidTr="007F1D7E">
        <w:trPr>
          <w:trHeight w:val="346"/>
        </w:trPr>
        <w:tc>
          <w:tcPr>
            <w:tcW w:w="7128" w:type="dxa"/>
            <w:vAlign w:val="center"/>
          </w:tcPr>
          <w:p w14:paraId="0BF77943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Compile assessment event tools.</w:t>
            </w:r>
          </w:p>
        </w:tc>
        <w:tc>
          <w:tcPr>
            <w:tcW w:w="900" w:type="dxa"/>
          </w:tcPr>
          <w:p w14:paraId="0BF77944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45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4A" w14:textId="77777777" w:rsidTr="007F1D7E">
        <w:trPr>
          <w:trHeight w:val="341"/>
        </w:trPr>
        <w:tc>
          <w:tcPr>
            <w:tcW w:w="7128" w:type="dxa"/>
            <w:vAlign w:val="center"/>
          </w:tcPr>
          <w:p w14:paraId="0BF77947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Review of relevant assessment tools against principles of assessment and rules of evidence is current.</w:t>
            </w:r>
          </w:p>
        </w:tc>
        <w:tc>
          <w:tcPr>
            <w:tcW w:w="900" w:type="dxa"/>
          </w:tcPr>
          <w:p w14:paraId="0BF77948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49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4E" w14:textId="77777777" w:rsidTr="007F1D7E">
        <w:trPr>
          <w:trHeight w:val="352"/>
        </w:trPr>
        <w:tc>
          <w:tcPr>
            <w:tcW w:w="7128" w:type="dxa"/>
            <w:vAlign w:val="center"/>
          </w:tcPr>
          <w:p w14:paraId="0BF7794B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Ensure prior assessment advice is given. (where, when, what)</w:t>
            </w:r>
          </w:p>
        </w:tc>
        <w:tc>
          <w:tcPr>
            <w:tcW w:w="900" w:type="dxa"/>
          </w:tcPr>
          <w:p w14:paraId="0BF7794C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4D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52" w14:textId="77777777" w:rsidTr="007F1D7E">
        <w:trPr>
          <w:trHeight w:val="362"/>
        </w:trPr>
        <w:tc>
          <w:tcPr>
            <w:tcW w:w="7128" w:type="dxa"/>
            <w:vAlign w:val="center"/>
          </w:tcPr>
          <w:p w14:paraId="0BF7794F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Ensure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assessment appeals procedure 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provided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0BF77950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51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56" w14:textId="77777777" w:rsidTr="007F1D7E">
        <w:trPr>
          <w:trHeight w:val="343"/>
        </w:trPr>
        <w:tc>
          <w:tcPr>
            <w:tcW w:w="7128" w:type="dxa"/>
            <w:shd w:val="clear" w:color="auto" w:fill="F2F2F2" w:themeFill="background1" w:themeFillShade="F2"/>
          </w:tcPr>
          <w:p w14:paraId="0BF77953" w14:textId="77777777" w:rsidR="004C797F" w:rsidRPr="0075198C" w:rsidRDefault="004C797F" w:rsidP="004C797F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Assessment Event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F77954" w14:textId="77777777" w:rsidR="004C797F" w:rsidRPr="00C643CA" w:rsidRDefault="004C797F" w:rsidP="004C797F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Yes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14:paraId="0BF77955" w14:textId="77777777" w:rsidR="004C797F" w:rsidRPr="00C643CA" w:rsidRDefault="004C797F" w:rsidP="004C797F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No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sym w:font="Symbol" w:char="F0D6"/>
            </w:r>
          </w:p>
        </w:tc>
      </w:tr>
      <w:tr w:rsidR="004C797F" w:rsidRPr="00C643CA" w14:paraId="0BF7795A" w14:textId="77777777" w:rsidTr="007F1D7E">
        <w:trPr>
          <w:trHeight w:val="300"/>
        </w:trPr>
        <w:tc>
          <w:tcPr>
            <w:tcW w:w="7128" w:type="dxa"/>
            <w:vAlign w:val="center"/>
          </w:tcPr>
          <w:p w14:paraId="0BF77957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Ensure all assessment resources and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required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conditions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for assessment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 are in place.</w:t>
            </w:r>
          </w:p>
        </w:tc>
        <w:tc>
          <w:tcPr>
            <w:tcW w:w="900" w:type="dxa"/>
          </w:tcPr>
          <w:p w14:paraId="0BF77958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59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5E" w14:textId="77777777" w:rsidTr="007F1D7E">
        <w:trPr>
          <w:trHeight w:val="366"/>
        </w:trPr>
        <w:tc>
          <w:tcPr>
            <w:tcW w:w="7128" w:type="dxa"/>
            <w:vAlign w:val="center"/>
          </w:tcPr>
          <w:p w14:paraId="0BF7795B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Negotiate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facilitate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 special needs of students requiring assessment adjustments.</w:t>
            </w:r>
          </w:p>
        </w:tc>
        <w:tc>
          <w:tcPr>
            <w:tcW w:w="900" w:type="dxa"/>
          </w:tcPr>
          <w:p w14:paraId="0BF7795C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5D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62" w14:textId="77777777" w:rsidTr="007F1D7E">
        <w:trPr>
          <w:trHeight w:val="334"/>
        </w:trPr>
        <w:tc>
          <w:tcPr>
            <w:tcW w:w="7128" w:type="dxa"/>
            <w:vAlign w:val="center"/>
          </w:tcPr>
          <w:p w14:paraId="0BF7795F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Conduct assessment</w:t>
            </w:r>
          </w:p>
        </w:tc>
        <w:tc>
          <w:tcPr>
            <w:tcW w:w="900" w:type="dxa"/>
          </w:tcPr>
          <w:p w14:paraId="0BF77960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61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66" w14:textId="77777777" w:rsidTr="007F1D7E">
        <w:trPr>
          <w:trHeight w:val="358"/>
        </w:trPr>
        <w:tc>
          <w:tcPr>
            <w:tcW w:w="7128" w:type="dxa"/>
            <w:vAlign w:val="center"/>
          </w:tcPr>
          <w:p w14:paraId="0BF77963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Gather assessment evidence</w:t>
            </w:r>
          </w:p>
        </w:tc>
        <w:tc>
          <w:tcPr>
            <w:tcW w:w="900" w:type="dxa"/>
          </w:tcPr>
          <w:p w14:paraId="0BF77964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65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6A" w14:textId="77777777" w:rsidTr="007F1D7E">
        <w:trPr>
          <w:trHeight w:val="354"/>
        </w:trPr>
        <w:tc>
          <w:tcPr>
            <w:tcW w:w="7128" w:type="dxa"/>
            <w:vAlign w:val="center"/>
          </w:tcPr>
          <w:p w14:paraId="0BF77967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Provide and gather student feedback forms</w:t>
            </w:r>
          </w:p>
        </w:tc>
        <w:tc>
          <w:tcPr>
            <w:tcW w:w="900" w:type="dxa"/>
          </w:tcPr>
          <w:p w14:paraId="0BF77968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69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6E" w14:textId="77777777" w:rsidTr="007F1D7E">
        <w:trPr>
          <w:trHeight w:val="354"/>
        </w:trPr>
        <w:tc>
          <w:tcPr>
            <w:tcW w:w="7128" w:type="dxa"/>
            <w:vAlign w:val="center"/>
          </w:tcPr>
          <w:p w14:paraId="0BF7796B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Follow complaints and appeal procedure if required.</w:t>
            </w:r>
          </w:p>
        </w:tc>
        <w:tc>
          <w:tcPr>
            <w:tcW w:w="900" w:type="dxa"/>
          </w:tcPr>
          <w:p w14:paraId="0BF7796C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6D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72" w14:textId="77777777" w:rsidTr="007F1D7E">
        <w:trPr>
          <w:trHeight w:val="336"/>
        </w:trPr>
        <w:tc>
          <w:tcPr>
            <w:tcW w:w="7128" w:type="dxa"/>
            <w:shd w:val="clear" w:color="auto" w:fill="F2F2F2" w:themeFill="background1" w:themeFillShade="F2"/>
          </w:tcPr>
          <w:p w14:paraId="0BF7796F" w14:textId="77777777" w:rsidR="004C797F" w:rsidRPr="0075198C" w:rsidRDefault="004C797F" w:rsidP="004C797F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b/>
                <w:sz w:val="20"/>
                <w:szCs w:val="20"/>
                <w:lang w:val="en-US"/>
              </w:rPr>
              <w:t>Post Assessment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F77970" w14:textId="77777777" w:rsidR="004C797F" w:rsidRPr="00C643CA" w:rsidRDefault="004C797F" w:rsidP="004C797F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Yes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sym w:font="Symbol" w:char="F0D6"/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14:paraId="0BF77971" w14:textId="77777777" w:rsidR="004C797F" w:rsidRPr="00C643CA" w:rsidRDefault="004C797F" w:rsidP="004C797F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No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sym w:font="Symbol" w:char="F0D6"/>
            </w:r>
          </w:p>
        </w:tc>
      </w:tr>
      <w:tr w:rsidR="004C797F" w:rsidRPr="00C643CA" w14:paraId="0BF77976" w14:textId="77777777" w:rsidTr="007F1D7E">
        <w:trPr>
          <w:trHeight w:val="688"/>
        </w:trPr>
        <w:tc>
          <w:tcPr>
            <w:tcW w:w="7128" w:type="dxa"/>
            <w:vAlign w:val="center"/>
          </w:tcPr>
          <w:p w14:paraId="0BF77973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 xml:space="preserve">Evidence is measured and judged on: Sufficiency, Validity, Reliability, Currency, and Authenticity.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Refer to assessment checklist tools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0BF77974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75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7A" w14:textId="77777777" w:rsidTr="007F1D7E">
        <w:trPr>
          <w:trHeight w:val="415"/>
        </w:trPr>
        <w:tc>
          <w:tcPr>
            <w:tcW w:w="7128" w:type="dxa"/>
            <w:vAlign w:val="center"/>
          </w:tcPr>
          <w:p w14:paraId="0BF77977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Competency Judgment is made and recorded</w:t>
            </w:r>
          </w:p>
        </w:tc>
        <w:tc>
          <w:tcPr>
            <w:tcW w:w="900" w:type="dxa"/>
          </w:tcPr>
          <w:p w14:paraId="0BF77978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79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7E" w14:textId="77777777" w:rsidTr="007F1D7E">
        <w:trPr>
          <w:trHeight w:val="421"/>
        </w:trPr>
        <w:tc>
          <w:tcPr>
            <w:tcW w:w="7128" w:type="dxa"/>
            <w:vAlign w:val="center"/>
          </w:tcPr>
          <w:p w14:paraId="0BF7797B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Re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-submission </w:t>
            </w: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work advice is supplied where necessary</w:t>
            </w:r>
          </w:p>
        </w:tc>
        <w:tc>
          <w:tcPr>
            <w:tcW w:w="900" w:type="dxa"/>
          </w:tcPr>
          <w:p w14:paraId="0BF7797C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7D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82" w14:textId="77777777" w:rsidTr="007F1D7E">
        <w:trPr>
          <w:trHeight w:val="413"/>
        </w:trPr>
        <w:tc>
          <w:tcPr>
            <w:tcW w:w="7128" w:type="dxa"/>
            <w:vAlign w:val="center"/>
          </w:tcPr>
          <w:p w14:paraId="0BF7797F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Competency decision is communicated to the student as soon as possible.</w:t>
            </w:r>
          </w:p>
        </w:tc>
        <w:tc>
          <w:tcPr>
            <w:tcW w:w="900" w:type="dxa"/>
          </w:tcPr>
          <w:p w14:paraId="0BF77980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81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86" w14:textId="77777777" w:rsidTr="007F1D7E">
        <w:trPr>
          <w:trHeight w:val="419"/>
        </w:trPr>
        <w:tc>
          <w:tcPr>
            <w:tcW w:w="7128" w:type="dxa"/>
            <w:vAlign w:val="center"/>
          </w:tcPr>
          <w:p w14:paraId="0BF77983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Statements of attainment are issued.</w:t>
            </w:r>
          </w:p>
        </w:tc>
        <w:tc>
          <w:tcPr>
            <w:tcW w:w="900" w:type="dxa"/>
          </w:tcPr>
          <w:p w14:paraId="0BF77984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85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8A" w14:textId="77777777" w:rsidTr="007F1D7E">
        <w:trPr>
          <w:trHeight w:val="702"/>
        </w:trPr>
        <w:tc>
          <w:tcPr>
            <w:tcW w:w="7128" w:type="dxa"/>
            <w:vAlign w:val="center"/>
          </w:tcPr>
          <w:p w14:paraId="0BF77987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643CA">
              <w:rPr>
                <w:rFonts w:ascii="Calibri" w:hAnsi="Calibri"/>
                <w:sz w:val="20"/>
                <w:szCs w:val="20"/>
                <w:lang w:val="en-US"/>
              </w:rPr>
              <w:t>Assessment tools, processes and student feedback are evaluated for review and adjustment.</w:t>
            </w:r>
          </w:p>
        </w:tc>
        <w:tc>
          <w:tcPr>
            <w:tcW w:w="900" w:type="dxa"/>
          </w:tcPr>
          <w:p w14:paraId="0BF77988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14:paraId="0BF77989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90" w14:textId="77777777" w:rsidTr="007F1D7E">
        <w:trPr>
          <w:trHeight w:val="702"/>
        </w:trPr>
        <w:tc>
          <w:tcPr>
            <w:tcW w:w="9067" w:type="dxa"/>
            <w:gridSpan w:val="3"/>
            <w:vAlign w:val="center"/>
          </w:tcPr>
          <w:p w14:paraId="0BF7798B" w14:textId="77777777" w:rsidR="004C797F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Review Comments: </w:t>
            </w:r>
          </w:p>
          <w:p w14:paraId="0BF7798C" w14:textId="77777777" w:rsidR="004C797F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BF7798D" w14:textId="77777777" w:rsidR="004C797F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BF7798E" w14:textId="77777777" w:rsidR="004C797F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Signed:                                                           Date:</w:t>
            </w:r>
          </w:p>
          <w:p w14:paraId="0BF7798F" w14:textId="77777777" w:rsidR="004C797F" w:rsidRPr="00C643CA" w:rsidRDefault="004C797F" w:rsidP="004C79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C797F" w:rsidRPr="00C643CA" w14:paraId="0BF77992" w14:textId="77777777" w:rsidTr="007F1D7E">
        <w:trPr>
          <w:cantSplit/>
          <w:trHeight w:val="257"/>
        </w:trPr>
        <w:tc>
          <w:tcPr>
            <w:tcW w:w="9067" w:type="dxa"/>
            <w:gridSpan w:val="3"/>
            <w:shd w:val="clear" w:color="auto" w:fill="DBE5F1"/>
          </w:tcPr>
          <w:p w14:paraId="0BF77991" w14:textId="77777777" w:rsidR="004C797F" w:rsidRPr="00C643CA" w:rsidRDefault="004C797F" w:rsidP="004C797F">
            <w:pPr>
              <w:rPr>
                <w:rFonts w:ascii="Calibri" w:hAnsi="Calibri"/>
                <w:sz w:val="22"/>
              </w:rPr>
            </w:pPr>
          </w:p>
        </w:tc>
      </w:tr>
    </w:tbl>
    <w:p w14:paraId="0BF77993" w14:textId="77777777" w:rsidR="00843DF6" w:rsidRPr="00C643CA" w:rsidRDefault="00843DF6" w:rsidP="00C643CA"/>
    <w:sectPr w:rsidR="00843DF6" w:rsidRPr="00C643CA" w:rsidSect="004C797F">
      <w:footerReference w:type="default" r:id="rId11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B152" w14:textId="77777777" w:rsidR="00395919" w:rsidRDefault="00395919" w:rsidP="00454A28">
      <w:r>
        <w:separator/>
      </w:r>
    </w:p>
  </w:endnote>
  <w:endnote w:type="continuationSeparator" w:id="0">
    <w:p w14:paraId="3A448523" w14:textId="77777777" w:rsidR="00395919" w:rsidRDefault="00395919" w:rsidP="0045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</w:rPr>
      <w:id w:val="-573050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</w:rPr>
          <w:id w:val="703756092"/>
          <w:docPartObj>
            <w:docPartGallery w:val="Page Numbers (Top of Page)"/>
            <w:docPartUnique/>
          </w:docPartObj>
        </w:sdtPr>
        <w:sdtEndPr/>
        <w:sdtContent>
          <w:p w14:paraId="0BF7799B" w14:textId="268F9818" w:rsidR="00ED21B8" w:rsidRPr="00D701B8" w:rsidRDefault="004C797F" w:rsidP="00D701B8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i/>
              </w:rPr>
            </w:pPr>
            <w:r w:rsidRPr="007F08EF">
              <w:rPr>
                <w:rFonts w:asciiTheme="minorHAnsi" w:hAnsiTheme="minorHAnsi"/>
                <w:i/>
                <w:sz w:val="18"/>
                <w:szCs w:val="18"/>
              </w:rPr>
              <w:t xml:space="preserve">Quality Assurance Checklist </w:t>
            </w:r>
            <w:r w:rsidR="007F1D7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F08E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F08EF">
              <w:rPr>
                <w:rFonts w:asciiTheme="minorHAnsi" w:hAnsiTheme="minorHAnsi"/>
                <w:i/>
              </w:rPr>
              <w:t xml:space="preserve">                                                               </w:t>
            </w:r>
            <w:r w:rsidR="007F08EF" w:rsidRPr="007F08EF">
              <w:rPr>
                <w:rFonts w:asciiTheme="minorHAnsi" w:hAnsiTheme="minorHAnsi"/>
                <w:i/>
              </w:rPr>
              <w:t xml:space="preserve">                          </w:t>
            </w:r>
            <w:r w:rsidRPr="007F08EF">
              <w:rPr>
                <w:rFonts w:asciiTheme="minorHAnsi" w:hAnsiTheme="minorHAnsi"/>
                <w:i/>
              </w:rPr>
              <w:t xml:space="preserve">              </w:t>
            </w:r>
            <w:r w:rsidR="007F1D7E">
              <w:rPr>
                <w:rFonts w:asciiTheme="minorHAnsi" w:hAnsiTheme="minorHAnsi"/>
                <w:i/>
              </w:rPr>
              <w:t xml:space="preserve">         </w:t>
            </w:r>
            <w:r w:rsidRPr="007F08EF">
              <w:rPr>
                <w:rFonts w:asciiTheme="minorHAnsi" w:hAnsiTheme="minorHAnsi"/>
                <w:i/>
                <w:sz w:val="18"/>
                <w:szCs w:val="18"/>
              </w:rPr>
              <w:t xml:space="preserve">Page </w:t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D049E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1</w:t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  <w:r w:rsidRPr="007F08EF">
              <w:rPr>
                <w:rFonts w:asciiTheme="minorHAnsi" w:hAnsiTheme="minorHAnsi"/>
                <w:i/>
                <w:sz w:val="18"/>
                <w:szCs w:val="18"/>
              </w:rPr>
              <w:t xml:space="preserve"> of </w:t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D049E">
              <w:rPr>
                <w:rFonts w:asciiTheme="minorHAnsi" w:hAnsiTheme="minorHAnsi"/>
                <w:b/>
                <w:bCs/>
                <w:i/>
                <w:noProof/>
                <w:sz w:val="18"/>
                <w:szCs w:val="18"/>
              </w:rPr>
              <w:t>1</w:t>
            </w:r>
            <w:r w:rsidRPr="007F08EF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3C1F" w14:textId="77777777" w:rsidR="00395919" w:rsidRDefault="00395919" w:rsidP="00454A28">
      <w:r>
        <w:separator/>
      </w:r>
    </w:p>
  </w:footnote>
  <w:footnote w:type="continuationSeparator" w:id="0">
    <w:p w14:paraId="0D5542DA" w14:textId="77777777" w:rsidR="00395919" w:rsidRDefault="00395919" w:rsidP="0045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162"/>
    <w:multiLevelType w:val="hybridMultilevel"/>
    <w:tmpl w:val="5EF8CC46"/>
    <w:lvl w:ilvl="0" w:tplc="EAAC5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E35"/>
    <w:multiLevelType w:val="hybridMultilevel"/>
    <w:tmpl w:val="5D40F2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95965"/>
    <w:multiLevelType w:val="hybridMultilevel"/>
    <w:tmpl w:val="A1049B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F3729CC"/>
    <w:multiLevelType w:val="hybridMultilevel"/>
    <w:tmpl w:val="4462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A"/>
    <w:rsid w:val="00012B57"/>
    <w:rsid w:val="0004631D"/>
    <w:rsid w:val="000A1221"/>
    <w:rsid w:val="00240906"/>
    <w:rsid w:val="002D049E"/>
    <w:rsid w:val="00371AD5"/>
    <w:rsid w:val="00395919"/>
    <w:rsid w:val="003B0CC5"/>
    <w:rsid w:val="0041182D"/>
    <w:rsid w:val="00440FDC"/>
    <w:rsid w:val="00454A28"/>
    <w:rsid w:val="00465933"/>
    <w:rsid w:val="004C797F"/>
    <w:rsid w:val="004F186C"/>
    <w:rsid w:val="00501740"/>
    <w:rsid w:val="005E339D"/>
    <w:rsid w:val="00622681"/>
    <w:rsid w:val="006968DB"/>
    <w:rsid w:val="006B1FB4"/>
    <w:rsid w:val="006C6713"/>
    <w:rsid w:val="00723862"/>
    <w:rsid w:val="007424EC"/>
    <w:rsid w:val="0075198C"/>
    <w:rsid w:val="00753BCA"/>
    <w:rsid w:val="007B63DF"/>
    <w:rsid w:val="007F08EF"/>
    <w:rsid w:val="007F1D7E"/>
    <w:rsid w:val="008019B6"/>
    <w:rsid w:val="00843DF6"/>
    <w:rsid w:val="00877126"/>
    <w:rsid w:val="009008AC"/>
    <w:rsid w:val="009759D6"/>
    <w:rsid w:val="0098674F"/>
    <w:rsid w:val="009A6F15"/>
    <w:rsid w:val="009C6449"/>
    <w:rsid w:val="00A674AC"/>
    <w:rsid w:val="00AB209C"/>
    <w:rsid w:val="00B578E8"/>
    <w:rsid w:val="00C132C4"/>
    <w:rsid w:val="00C23FEF"/>
    <w:rsid w:val="00C3319E"/>
    <w:rsid w:val="00C643CA"/>
    <w:rsid w:val="00C75D50"/>
    <w:rsid w:val="00CA0F03"/>
    <w:rsid w:val="00CC551A"/>
    <w:rsid w:val="00D4518F"/>
    <w:rsid w:val="00D6203C"/>
    <w:rsid w:val="00D701B8"/>
    <w:rsid w:val="00D74B1A"/>
    <w:rsid w:val="00DC2BCA"/>
    <w:rsid w:val="00EC5309"/>
    <w:rsid w:val="00ED21B8"/>
    <w:rsid w:val="00F64910"/>
    <w:rsid w:val="00FB23E5"/>
    <w:rsid w:val="00FC1057"/>
    <w:rsid w:val="00FE2999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792C"/>
  <w15:chartTrackingRefBased/>
  <w15:docId w15:val="{2DDEFAE5-D5AF-4181-A4EA-D756C55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F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4A28"/>
    <w:pPr>
      <w:keepNext/>
      <w:spacing w:before="120" w:line="360" w:lineRule="auto"/>
      <w:outlineLvl w:val="0"/>
    </w:pPr>
    <w:rPr>
      <w:rFonts w:ascii="Trebuchet MS" w:hAnsi="Trebuchet MS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454A28"/>
    <w:pPr>
      <w:keepNext/>
      <w:spacing w:before="120" w:line="360" w:lineRule="auto"/>
      <w:outlineLvl w:val="2"/>
    </w:pPr>
    <w:rPr>
      <w:rFonts w:ascii="Trebuchet MS" w:hAnsi="Trebuchet MS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A28"/>
    <w:rPr>
      <w:rFonts w:ascii="Trebuchet MS" w:eastAsia="Times New Roman" w:hAnsi="Trebuchet MS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454A28"/>
    <w:rPr>
      <w:rFonts w:ascii="Trebuchet MS" w:eastAsia="Times New Roman" w:hAnsi="Trebuchet MS" w:cs="Arial"/>
      <w:b/>
      <w:bCs/>
      <w:sz w:val="28"/>
      <w:szCs w:val="24"/>
    </w:rPr>
  </w:style>
  <w:style w:type="paragraph" w:styleId="NormalWeb">
    <w:name w:val="Normal (Web)"/>
    <w:basedOn w:val="Normal"/>
    <w:semiHidden/>
    <w:rsid w:val="00454A28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454A2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454A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454A28"/>
    <w:rPr>
      <w:color w:val="0000FF"/>
      <w:u w:val="single"/>
    </w:rPr>
  </w:style>
  <w:style w:type="character" w:styleId="FollowedHyperlink">
    <w:name w:val="FollowedHyperlink"/>
    <w:semiHidden/>
    <w:rsid w:val="00454A28"/>
    <w:rPr>
      <w:color w:val="800080"/>
      <w:u w:val="single"/>
    </w:rPr>
  </w:style>
  <w:style w:type="paragraph" w:customStyle="1" w:styleId="Default">
    <w:name w:val="Default"/>
    <w:rsid w:val="00454A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4A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4A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3D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DF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843DF6"/>
    <w:rPr>
      <w:rFonts w:ascii="Arial" w:hAnsi="Arial" w:cs="Arial"/>
      <w:b/>
      <w:bCs/>
    </w:rPr>
  </w:style>
  <w:style w:type="character" w:customStyle="1" w:styleId="BodyText2Char">
    <w:name w:val="Body Text 2 Char"/>
    <w:link w:val="BodyText2"/>
    <w:semiHidden/>
    <w:rsid w:val="00843DF6"/>
    <w:rPr>
      <w:rFonts w:ascii="Arial" w:eastAsia="Times New Roman" w:hAnsi="Arial" w:cs="Arial"/>
      <w:b/>
      <w:bCs/>
      <w:sz w:val="24"/>
      <w:szCs w:val="24"/>
    </w:rPr>
  </w:style>
  <w:style w:type="paragraph" w:customStyle="1" w:styleId="elegant">
    <w:name w:val="elegant"/>
    <w:basedOn w:val="Normal"/>
    <w:rsid w:val="00843DF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ter\Documents\A%20-%20QMS%20-%20SMS%202013\Template%20docs\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499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Quality</TermName>
          <TermId xmlns="http://schemas.microsoft.com/office/infopath/2007/PartnerControls">ed3747cd-2f19-4778-b439-e9906ce12698</TermId>
        </TermInfo>
      </Terms>
    </l7cfe4f818e44e71b72a25a933a9fca7>
  </documentManagement>
</p:properties>
</file>

<file path=customXml/itemProps1.xml><?xml version="1.0" encoding="utf-8"?>
<ds:datastoreItem xmlns:ds="http://schemas.openxmlformats.org/officeDocument/2006/customXml" ds:itemID="{D12BA951-4DEA-4D56-8C8E-E76D15B1D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0F069-96F1-416F-B7C6-5A6289AA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E131-DFB1-42A8-BBDC-D239E3D1132B}">
  <ds:schemaRefs>
    <ds:schemaRef ds:uri="http://schemas.openxmlformats.org/package/2006/metadata/core-properties"/>
    <ds:schemaRef ds:uri="http://purl.org/dc/terms/"/>
    <ds:schemaRef ds:uri="f23e351e-141c-4596-a177-f2ed68379a5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6045f91-10fd-452b-8999-cae3096d480e"/>
    <ds:schemaRef ds:uri="http://purl.org/dc/elements/1.1/"/>
    <ds:schemaRef ds:uri="e5e525ad-0cd9-4be4-ab01-cd3b5b8080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template.dot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Checklist</vt:lpstr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Checklist</dc:title>
  <dc:subject/>
  <dc:creator>Peter</dc:creator>
  <cp:keywords/>
  <cp:lastModifiedBy>Bernadette Pasco</cp:lastModifiedBy>
  <cp:revision>2</cp:revision>
  <dcterms:created xsi:type="dcterms:W3CDTF">2019-05-01T13:48:00Z</dcterms:created>
  <dcterms:modified xsi:type="dcterms:W3CDTF">2019-05-01T13:48:00Z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499;#Comp: F ＆ T: Quality|ed3747cd-2f19-4778-b439-e9906ce12698</vt:lpwstr>
  </property>
</Properties>
</file>